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B80C1E" w:rsidRDefault="00FC3315" w:rsidP="00CD5450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B80C1E" w:rsidRDefault="00232DAA" w:rsidP="00CD5450">
            <w:pPr>
              <w:rPr>
                <w:b/>
                <w:sz w:val="22"/>
                <w:szCs w:val="22"/>
              </w:rPr>
            </w:pPr>
            <w:r w:rsidRPr="00232DAA">
              <w:rPr>
                <w:b/>
                <w:sz w:val="22"/>
                <w:szCs w:val="22"/>
              </w:rPr>
              <w:t>PRAWO UPADŁOŚCIOWE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87610">
              <w:rPr>
                <w:b/>
                <w:sz w:val="22"/>
                <w:szCs w:val="22"/>
              </w:rPr>
              <w:t>4</w:t>
            </w:r>
            <w:r w:rsidR="00A60717">
              <w:rPr>
                <w:b/>
                <w:sz w:val="22"/>
                <w:szCs w:val="22"/>
              </w:rPr>
              <w:t>4</w:t>
            </w:r>
            <w:r w:rsidR="00887610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B80C1E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80C1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A49EC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</w:t>
            </w:r>
            <w:r w:rsidR="00FC3315" w:rsidRPr="00511AA4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A433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A433B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009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541FB" w:rsidRDefault="00C10099" w:rsidP="00C10099">
            <w:pPr>
              <w:jc w:val="both"/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 xml:space="preserve">Student powinien uzyskać podstawowe wiadomości dotyczące przebiegu postępowania upadłościowego wraz z pogłębioną analizą szczególnych zagadnień prawno-materialnych. Obejmują one po pierwsze przesłanki wszczęcia postępowania upadłościowego lub naprawczego. W odniesieniu do postępowania upadłościowego obejmującego likwidację majątku upadłego omawiane są następujące zagadnienia: skutki ogłoszenia upadłości dla stosunków prawnych upadłego, konstrukcja masy upadłości i jej likwidacja, realizacja zabezpieczeń rzeczowych oraz zaspokojenie wierzycieli. Prezentowane są ponadto odrębności dotyczące postępowania wobec osób nieprowadzących działalności gospodarczej. W odniesieniu do postępowania upadłościowego z możliwością zawarcia układu oraz postępowania naprawczego tematyka obejmuje skutki ogłoszenia upadłości lub wszczęcia postępowania naprawczego, treść i sposób przyjęcia układu oraz jego skutki. Zagadnienia prezentowane są z punktu widzenia poszczególnych uczestników postępowania (syndyka, upadłego, wierzycieli, sądu) Wykład jest ilustrowany kazusami oraz przykładami </w:t>
            </w:r>
            <w:proofErr w:type="spellStart"/>
            <w:r w:rsidRPr="004541FB">
              <w:rPr>
                <w:sz w:val="22"/>
                <w:szCs w:val="22"/>
              </w:rPr>
              <w:t>prawnoporównawczymi</w:t>
            </w:r>
            <w:proofErr w:type="spellEnd"/>
            <w:r w:rsidRPr="004541FB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C1009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10099" w:rsidP="00A025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Postępowania upadłościowego oraz naprawczego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10099" w:rsidP="00A025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A025CA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A025C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4541FB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C6877" w:rsidRDefault="00C10099" w:rsidP="00A025CA">
            <w:pPr>
              <w:jc w:val="both"/>
              <w:rPr>
                <w:sz w:val="22"/>
                <w:szCs w:val="22"/>
              </w:rPr>
            </w:pPr>
            <w:r w:rsidRPr="001C6877">
              <w:rPr>
                <w:sz w:val="22"/>
                <w:szCs w:val="22"/>
              </w:rPr>
              <w:t>Umiejętność krytycznej analizy obowiązujących regulacji z zakresu upadłości w świetle pojawiających się problemów praktycznych; Znajomość podstawowego schematu oraz umiejętność poprawnej interpretacji podstawowych zasad prawa upadłościowego: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10099" w:rsidP="00A025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C6877" w:rsidRDefault="00FC3315" w:rsidP="00A025CA">
            <w:pPr>
              <w:jc w:val="both"/>
              <w:rPr>
                <w:b/>
                <w:sz w:val="22"/>
                <w:szCs w:val="22"/>
              </w:rPr>
            </w:pPr>
            <w:r w:rsidRPr="001C6877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A025C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4541FB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C6877" w:rsidRDefault="00C10099" w:rsidP="00A025CA">
            <w:pPr>
              <w:jc w:val="both"/>
              <w:rPr>
                <w:sz w:val="22"/>
                <w:szCs w:val="22"/>
              </w:rPr>
            </w:pPr>
            <w:r w:rsidRPr="001C6877">
              <w:rPr>
                <w:sz w:val="22"/>
                <w:szCs w:val="22"/>
              </w:rPr>
              <w:t>Umiejętność stosowania prawa upadłośc</w:t>
            </w:r>
            <w:bookmarkStart w:id="0" w:name="_GoBack"/>
            <w:bookmarkEnd w:id="0"/>
            <w:r w:rsidRPr="001C6877">
              <w:rPr>
                <w:sz w:val="22"/>
                <w:szCs w:val="22"/>
              </w:rPr>
              <w:t>iowego procesowego i materialnego w sposób prowadzący do wyników efektywnych ekonomicznie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10099" w:rsidP="00A025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  <w:p w:rsidR="000B141F" w:rsidRPr="00511AA4" w:rsidRDefault="002A23A2" w:rsidP="004541FB">
            <w:pPr>
              <w:tabs>
                <w:tab w:val="left" w:pos="1005"/>
              </w:tabs>
            </w:pPr>
            <w:r>
              <w:tab/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4541FB" w:rsidP="004541FB">
            <w:pPr>
              <w:jc w:val="both"/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 xml:space="preserve">Zasady postępowania upadłościowego i naprawczego (zasada, optymalizacji, nadrzędności, wspólnego interesu wierzycieli, harmonizacji ochrony interesów osób trzecich i wierzycieli, równości upadłych przedsiębiorców, </w:t>
            </w:r>
            <w:r w:rsidRPr="004541FB">
              <w:rPr>
                <w:sz w:val="22"/>
                <w:szCs w:val="22"/>
              </w:rPr>
              <w:lastRenderedPageBreak/>
              <w:t>szybkości i ekonomiki postępowania, koncentracji, jawności postepowania)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Zdolność upadłościowa (pojęcie niewypłacalności dłużnika, pojęcie niewykonywania wymagalnych zobowiązań, podstawy upadłości)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Organy postepowania upadłościowego a) sąd jego właściwość, skład, kompetencje, b) sędzia komisarz, c)syndyk (ustanowienie syndyka, zmiana i odwołanie, kwalifikacje, zakres działalności, wynagrodzenie, odpowiedzialność), d)nadzorca sądowy, e)zarządca (czynności z udziałem komornika)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Uczestnicy postepowania upadłościowego (dłużnik, upadły, wierzyciele, zgromadzenie wierzycieli, rada wierzycieli, inni uczestnicy)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Ogłoszenie upadłości (wszczęcie postępowania, podmioty uprawnione do złożenia wniosku, wniosek o ogłoszenie upadłości, zabezpieczenie majątku dłużnika, wstępne zgromadzenie wierzycieli, orzeczenia kończące postępowanie w sprawie ogłoszenia upadłości)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Postępowanie po ogłoszeniu upadłości ( zgłoszenie wierzycieli, lista wierzycieli, objęcie majątku przez syndyka albo zarządcę, oszacowanie i spis inwentarza, zarząd masą upadłości, zakończenie i umorzenie postępowania upadłościowego)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Likwidacja masy upadłości (zbycie przedsiębiorstwa upadłego, likwidacja wierzytelności i innych praw majątkowych, podział funduszów masy upadłości i sum uzyskanych ze zbycia rzeczy i praw obciążonych rzeczowo, kolejność zaspokojenia wierzycieli)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Układ w postepowaniu upadłościowym (zawarcie i zatwierdzenie układu, skutki układu, zmiana układu, uchylenie układu)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Postępowanie naprawcze (przesłanki i wszczęcie postępowania naprawczego, przebieg postepowania, układ)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0B141F" w:rsidRPr="004541FB" w:rsidRDefault="00FC3315" w:rsidP="004541F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4541FB" w:rsidP="004541FB">
            <w:pPr>
              <w:jc w:val="both"/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Ogłoszenie upadłości (wszczęcie postępowania, podmioty uprawnione do złożenia wniosku, wniosek o ogłoszenie upadłości, zabezpieczenie majątku dłużnika, wstępne zgromadzenie wierzycieli, orzeczenia kończące postępowanie w sprawie ogłoszenia upadłości)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Skutki ogłoszenia upadłości (masa upadłości, skutki wobec osoby upadłej, skutki co do zobowiązań upadłego, likwidacja majątku, zawarcie układu, wpływ ogłoszenia upadłości na stosunki majątkowe małżeńskie upadłego, bezskuteczność i zaskarżenie czynności upadłego)</w:t>
            </w:r>
            <w:r>
              <w:rPr>
                <w:sz w:val="22"/>
                <w:szCs w:val="22"/>
              </w:rPr>
              <w:t xml:space="preserve">; </w:t>
            </w:r>
            <w:r w:rsidRPr="004541FB">
              <w:rPr>
                <w:sz w:val="22"/>
                <w:szCs w:val="22"/>
              </w:rPr>
              <w:t>Postępowanie po ogłoszeniu upadłości ( zgłoszenie wierzycieli, lista wierzycieli, objęcie majątku przez syndyka albo zarządcę, oszacowanie i spis inwentarza, zarząd masą upadłości, zakończenie i umorzenie postępowania upadłościowego);</w:t>
            </w:r>
            <w:r>
              <w:rPr>
                <w:sz w:val="22"/>
                <w:szCs w:val="22"/>
              </w:rPr>
              <w:t xml:space="preserve"> </w:t>
            </w:r>
            <w:r w:rsidRPr="004541FB">
              <w:rPr>
                <w:sz w:val="22"/>
                <w:szCs w:val="22"/>
              </w:rPr>
              <w:t>Likwidacja masy upadłości (zbycie przedsiębiorstwa upadłego, likwidacja wierzytelności i innych praw majątkowych, podział funduszów masy upadłości i sum uzyskanych ze zbycia rzeczy i praw obciążonych rzeczowo, kolejność zaspokojenia wierzycieli);</w:t>
            </w:r>
            <w:r>
              <w:rPr>
                <w:sz w:val="22"/>
                <w:szCs w:val="22"/>
              </w:rPr>
              <w:t xml:space="preserve"> </w:t>
            </w:r>
            <w:r w:rsidRPr="004541FB">
              <w:rPr>
                <w:sz w:val="22"/>
                <w:szCs w:val="22"/>
              </w:rPr>
              <w:t>Rozwiązywanie kazusów z zakresu powyższych tematów.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4541FB" w:rsidTr="004541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4541FB" w:rsidRDefault="00FC3315" w:rsidP="00FC3315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025CA" w:rsidRDefault="000B141F" w:rsidP="009E7B8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41FB">
              <w:rPr>
                <w:rFonts w:ascii="Times New Roman" w:hAnsi="Times New Roman" w:cs="Times New Roman"/>
                <w:lang w:val="pl-PL"/>
              </w:rPr>
              <w:t>R. Lewandowski, P. Wołowski, Prawo upadłości</w:t>
            </w:r>
            <w:r w:rsidR="00A025CA">
              <w:rPr>
                <w:rFonts w:ascii="Times New Roman" w:hAnsi="Times New Roman" w:cs="Times New Roman"/>
                <w:lang w:val="pl-PL"/>
              </w:rPr>
              <w:t>owe i naprawcze, Warszawa 2011.</w:t>
            </w:r>
          </w:p>
          <w:p w:rsidR="00FC3315" w:rsidRPr="004541FB" w:rsidRDefault="000B141F" w:rsidP="009E7B8A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41FB">
              <w:rPr>
                <w:rFonts w:ascii="Times New Roman" w:hAnsi="Times New Roman" w:cs="Times New Roman"/>
                <w:lang w:val="pl-PL"/>
              </w:rPr>
              <w:t>R. Adamus, Prawo upadłościowe, Komentarz, Warszawa 2016 (fragmenty).</w:t>
            </w:r>
          </w:p>
        </w:tc>
      </w:tr>
      <w:tr w:rsidR="00FC3315" w:rsidRPr="004541FB" w:rsidTr="004541FB">
        <w:tc>
          <w:tcPr>
            <w:tcW w:w="2660" w:type="dxa"/>
          </w:tcPr>
          <w:p w:rsidR="00FC3315" w:rsidRPr="004541FB" w:rsidRDefault="00FC3315" w:rsidP="00FC3315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4541FB" w:rsidRDefault="000B141F" w:rsidP="004541FB">
            <w:pPr>
              <w:pStyle w:val="Akapitzlist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541FB">
              <w:rPr>
                <w:rFonts w:ascii="Times New Roman" w:hAnsi="Times New Roman" w:cs="Times New Roman"/>
                <w:lang w:val="pl-PL"/>
              </w:rPr>
              <w:t>R. Pabis, Pisma, pisma sądowe i umowy z zakresu prawa</w:t>
            </w:r>
            <w:r w:rsidR="004541F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4541FB">
              <w:rPr>
                <w:rFonts w:ascii="Times New Roman" w:hAnsi="Times New Roman" w:cs="Times New Roman"/>
                <w:lang w:val="pl-PL"/>
              </w:rPr>
              <w:t>upadłościowego i restrukturyzacyjnego z objaśnieniami, Warszawa 2017</w:t>
            </w:r>
            <w:r w:rsidR="00A025CA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4541FB" w:rsidTr="004541FB">
        <w:tc>
          <w:tcPr>
            <w:tcW w:w="2660" w:type="dxa"/>
          </w:tcPr>
          <w:p w:rsidR="00FC3315" w:rsidRPr="004541FB" w:rsidRDefault="00FC3315" w:rsidP="00FC3315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4541FB" w:rsidRDefault="000B141F" w:rsidP="009E7B8A">
            <w:pPr>
              <w:jc w:val="both"/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metoda tradycyjna (wykład) z elementami interaktywnymi (dyskusja)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541FB" w:rsidRDefault="00FC3315" w:rsidP="009E7B8A">
            <w:pPr>
              <w:jc w:val="center"/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541FB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4541FB" w:rsidRDefault="00FC3315" w:rsidP="009E7B8A">
            <w:pPr>
              <w:jc w:val="center"/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Nr efektu uczenia się/grupy efektów</w:t>
            </w:r>
            <w:r w:rsidRPr="004541FB">
              <w:rPr>
                <w:sz w:val="22"/>
                <w:szCs w:val="22"/>
              </w:rPr>
              <w:br/>
            </w:r>
          </w:p>
        </w:tc>
      </w:tr>
      <w:tr w:rsidR="00103031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03031" w:rsidRPr="004541FB" w:rsidRDefault="00103031" w:rsidP="00355F2A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Analiza studium przypadku –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03031" w:rsidRPr="004541FB" w:rsidRDefault="004541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103031" w:rsidRPr="00511AA4" w:rsidTr="00EA2D0E">
        <w:tc>
          <w:tcPr>
            <w:tcW w:w="8208" w:type="dxa"/>
            <w:gridSpan w:val="2"/>
          </w:tcPr>
          <w:p w:rsidR="00103031" w:rsidRPr="004541FB" w:rsidRDefault="00103031" w:rsidP="00355F2A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103031" w:rsidRPr="004541FB" w:rsidRDefault="004541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103031" w:rsidRPr="00511AA4" w:rsidTr="00EA2D0E">
        <w:tc>
          <w:tcPr>
            <w:tcW w:w="8208" w:type="dxa"/>
            <w:gridSpan w:val="2"/>
          </w:tcPr>
          <w:p w:rsidR="00103031" w:rsidRPr="004541FB" w:rsidRDefault="00103031" w:rsidP="00355F2A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Projekty i prezentacje</w:t>
            </w:r>
          </w:p>
        </w:tc>
        <w:tc>
          <w:tcPr>
            <w:tcW w:w="1800" w:type="dxa"/>
          </w:tcPr>
          <w:p w:rsidR="00103031" w:rsidRPr="004541FB" w:rsidRDefault="004541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</w:tr>
      <w:tr w:rsidR="00103031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03031" w:rsidRPr="004541FB" w:rsidRDefault="00103031" w:rsidP="00FC3315">
            <w:pPr>
              <w:rPr>
                <w:sz w:val="22"/>
                <w:szCs w:val="22"/>
              </w:rPr>
            </w:pPr>
            <w:r w:rsidRPr="004541F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03031" w:rsidRPr="004541FB" w:rsidRDefault="000C1675" w:rsidP="00FC3315">
            <w:pPr>
              <w:rPr>
                <w:sz w:val="22"/>
                <w:szCs w:val="22"/>
              </w:rPr>
            </w:pPr>
            <w:r w:rsidRPr="00AE6626">
              <w:rPr>
                <w:sz w:val="22"/>
                <w:szCs w:val="22"/>
              </w:rPr>
              <w:t>Egzamin pisemny w formie pytań opisowych</w:t>
            </w:r>
            <w:r>
              <w:rPr>
                <w:sz w:val="22"/>
                <w:szCs w:val="22"/>
              </w:rPr>
              <w:t xml:space="preserve"> (0.6)</w:t>
            </w:r>
            <w:r w:rsidRPr="00AE6626">
              <w:rPr>
                <w:sz w:val="22"/>
                <w:szCs w:val="22"/>
              </w:rPr>
              <w:t xml:space="preserve"> i krótkich kazusów</w:t>
            </w:r>
            <w:r>
              <w:rPr>
                <w:sz w:val="22"/>
                <w:szCs w:val="22"/>
              </w:rPr>
              <w:t xml:space="preserve"> w ramach projektu (0,4)</w:t>
            </w:r>
            <w:r w:rsidRPr="00AE6626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B80C1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80C1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1F2DC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9176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176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176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176E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4291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(Nauki prawne)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429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0429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24E3"/>
    <w:multiLevelType w:val="hybridMultilevel"/>
    <w:tmpl w:val="DA1AC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06DBF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75FB2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02FD"/>
    <w:multiLevelType w:val="hybridMultilevel"/>
    <w:tmpl w:val="F48E9D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C869FD"/>
    <w:multiLevelType w:val="hybridMultilevel"/>
    <w:tmpl w:val="214A9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6140"/>
    <w:rsid w:val="0004291A"/>
    <w:rsid w:val="000B141F"/>
    <w:rsid w:val="000C1675"/>
    <w:rsid w:val="000C1B21"/>
    <w:rsid w:val="000C62AE"/>
    <w:rsid w:val="000C760A"/>
    <w:rsid w:val="000F6B26"/>
    <w:rsid w:val="00103031"/>
    <w:rsid w:val="00103F6C"/>
    <w:rsid w:val="00116F84"/>
    <w:rsid w:val="00124F95"/>
    <w:rsid w:val="001576BD"/>
    <w:rsid w:val="00183B8B"/>
    <w:rsid w:val="001C6877"/>
    <w:rsid w:val="001D5698"/>
    <w:rsid w:val="001F2DC8"/>
    <w:rsid w:val="00232DAA"/>
    <w:rsid w:val="00290D1F"/>
    <w:rsid w:val="002A23A2"/>
    <w:rsid w:val="00325E3C"/>
    <w:rsid w:val="00335D56"/>
    <w:rsid w:val="003B26E1"/>
    <w:rsid w:val="00410D8C"/>
    <w:rsid w:val="00416716"/>
    <w:rsid w:val="004474A9"/>
    <w:rsid w:val="004541FB"/>
    <w:rsid w:val="0050790E"/>
    <w:rsid w:val="00511AA4"/>
    <w:rsid w:val="00521E9E"/>
    <w:rsid w:val="005A5B46"/>
    <w:rsid w:val="00611328"/>
    <w:rsid w:val="00622034"/>
    <w:rsid w:val="00801B19"/>
    <w:rsid w:val="008020D5"/>
    <w:rsid w:val="008322AC"/>
    <w:rsid w:val="00850C40"/>
    <w:rsid w:val="00865722"/>
    <w:rsid w:val="0088496F"/>
    <w:rsid w:val="00887610"/>
    <w:rsid w:val="008A0657"/>
    <w:rsid w:val="008B224B"/>
    <w:rsid w:val="008C358C"/>
    <w:rsid w:val="009074ED"/>
    <w:rsid w:val="009176EF"/>
    <w:rsid w:val="00986ACD"/>
    <w:rsid w:val="009C36F9"/>
    <w:rsid w:val="009D222A"/>
    <w:rsid w:val="009E7998"/>
    <w:rsid w:val="009E7B8A"/>
    <w:rsid w:val="009F5760"/>
    <w:rsid w:val="00A025CA"/>
    <w:rsid w:val="00A0703A"/>
    <w:rsid w:val="00A1119E"/>
    <w:rsid w:val="00A433B8"/>
    <w:rsid w:val="00A60717"/>
    <w:rsid w:val="00AC53D5"/>
    <w:rsid w:val="00B44662"/>
    <w:rsid w:val="00B80C1E"/>
    <w:rsid w:val="00BE0D43"/>
    <w:rsid w:val="00C10099"/>
    <w:rsid w:val="00C60C15"/>
    <w:rsid w:val="00C81473"/>
    <w:rsid w:val="00C83126"/>
    <w:rsid w:val="00CD5450"/>
    <w:rsid w:val="00D240F4"/>
    <w:rsid w:val="00D466D8"/>
    <w:rsid w:val="00DC78DC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A49EC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1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1024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9</cp:revision>
  <dcterms:created xsi:type="dcterms:W3CDTF">2019-06-21T11:19:00Z</dcterms:created>
  <dcterms:modified xsi:type="dcterms:W3CDTF">2019-08-19T08:16:00Z</dcterms:modified>
</cp:coreProperties>
</file>